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05B0" w14:textId="77777777" w:rsidR="00DA586A" w:rsidRPr="00DA586A" w:rsidRDefault="00DA586A" w:rsidP="00DA586A">
      <w:pPr>
        <w:jc w:val="center"/>
        <w:rPr>
          <w:b/>
        </w:rPr>
      </w:pPr>
      <w:commentRangeStart w:id="0"/>
      <w:r w:rsidRPr="00DA586A">
        <w:rPr>
          <w:b/>
        </w:rPr>
        <w:t>Facilities, Equipment and Other Resources</w:t>
      </w:r>
      <w:commentRangeEnd w:id="0"/>
      <w:r w:rsidR="00121827">
        <w:rPr>
          <w:rStyle w:val="CommentReference"/>
          <w:rFonts w:cs="Times"/>
        </w:rPr>
        <w:commentReference w:id="0"/>
      </w:r>
    </w:p>
    <w:p w14:paraId="105C375D" w14:textId="77777777" w:rsidR="00DA586A" w:rsidRPr="00DA586A" w:rsidRDefault="00DA586A" w:rsidP="00DA586A"/>
    <w:p w14:paraId="3CC4992B" w14:textId="77777777" w:rsidR="00DA586A" w:rsidRPr="00DA586A" w:rsidRDefault="00DA586A" w:rsidP="002D5729">
      <w:pPr>
        <w:spacing w:line="276" w:lineRule="auto"/>
      </w:pPr>
      <w:r w:rsidRPr="00DA586A">
        <w:t xml:space="preserve">Clark University, founded in 1887, is a liberal-arts-based research university committed to scholarship and inquiry. Clark University’s mission is to educate undergraduate and graduate students to be imaginative and contributing citizens of the world, and to advance the frontiers of knowledge and understanding through rigorous scholarship and creative effort. Clark’s seven research institutes and centers (Adam Institute for Urban Teaching and School Practice, Clark Labs, George Perkins Marsh Institute, Hiatt Center for Urban Education, Higgins School of Humanities, Mosakowski Institute for Public Enterprise, and the Strassler Center for Holocaust Genocide Studies) build on a foundation of interdisciplinary scholarship, with faculty and students working across boundaries to develop innovative solutions to a wide range of contemporary challenges. The Office of Sponsored Programs and Research (OSPR) is responsible for the review, submission, and acceptance of University-based research, training, technical assistance, or educational projects involving funds, materials, or other compensation from outside sources. With the dedicated support from Department and Grant </w:t>
      </w:r>
      <w:r w:rsidR="005256EF">
        <w:t>A</w:t>
      </w:r>
      <w:r w:rsidRPr="00DA586A">
        <w:t>ccounting staff, the Institutional Review Board</w:t>
      </w:r>
      <w:r w:rsidR="00B17D32">
        <w:t>,</w:t>
      </w:r>
      <w:r w:rsidRPr="00DA586A">
        <w:t xml:space="preserve"> as well as the Corporate and Foundation Relations</w:t>
      </w:r>
      <w:r w:rsidR="00655D7F">
        <w:t xml:space="preserve"> office</w:t>
      </w:r>
      <w:r w:rsidRPr="00DA586A">
        <w:t xml:space="preserve">, OSPR follows well-established </w:t>
      </w:r>
      <w:r w:rsidR="00B17D32">
        <w:t xml:space="preserve">grant and contract management </w:t>
      </w:r>
      <w:r w:rsidRPr="00DA586A">
        <w:t xml:space="preserve">policies and procedures. With annual grant expenditures of over </w:t>
      </w:r>
      <w:r w:rsidR="005256EF">
        <w:t>$</w:t>
      </w:r>
      <w:r w:rsidRPr="00DA586A">
        <w:t xml:space="preserve">5.5 million (five-year average) and annual average of 135 active sponsored projects across the university’s department and research centers, Clark is well positioned to support grant-funded research. </w:t>
      </w:r>
    </w:p>
    <w:p w14:paraId="5D34CACE" w14:textId="77777777" w:rsidR="00DA586A" w:rsidRPr="00DA586A" w:rsidRDefault="00DA586A" w:rsidP="002D5729">
      <w:pPr>
        <w:spacing w:line="276" w:lineRule="auto"/>
      </w:pPr>
    </w:p>
    <w:p w14:paraId="4D5525EA" w14:textId="77777777" w:rsidR="00B37F7E" w:rsidRPr="00B37F7E" w:rsidRDefault="00B37F7E" w:rsidP="00B37F7E">
      <w:pPr>
        <w:spacing w:line="276" w:lineRule="auto"/>
        <w:rPr>
          <w:b/>
        </w:rPr>
      </w:pPr>
      <w:r w:rsidRPr="00B37F7E">
        <w:rPr>
          <w:b/>
        </w:rPr>
        <w:t>Department Resources</w:t>
      </w:r>
    </w:p>
    <w:p w14:paraId="569C5D1F" w14:textId="77777777" w:rsidR="00B37F7E" w:rsidRPr="00B37F7E" w:rsidRDefault="00B37F7E" w:rsidP="00B37F7E">
      <w:pPr>
        <w:spacing w:line="276" w:lineRule="auto"/>
      </w:pPr>
    </w:p>
    <w:p w14:paraId="47AD434E" w14:textId="77777777" w:rsidR="00B37F7E" w:rsidRPr="00B37F7E" w:rsidRDefault="00B37F7E" w:rsidP="00B37F7E">
      <w:pPr>
        <w:spacing w:line="276" w:lineRule="auto"/>
      </w:pPr>
      <w:r w:rsidRPr="00B37F7E">
        <w:rPr>
          <w:i/>
        </w:rPr>
        <w:t>&lt;faculty name&gt;</w:t>
      </w:r>
      <w:r w:rsidRPr="00B37F7E">
        <w:t xml:space="preserve"> has personal office space in the </w:t>
      </w:r>
      <w:r w:rsidRPr="00B37F7E">
        <w:rPr>
          <w:i/>
        </w:rPr>
        <w:t>&lt;department Name&gt;</w:t>
      </w:r>
      <w:r w:rsidRPr="00B37F7E">
        <w:t xml:space="preserve"> Department to accommodate meeting with students and colleagues and performing academic work. The office is approximately </w:t>
      </w:r>
      <w:r w:rsidRPr="00B37F7E">
        <w:rPr>
          <w:i/>
        </w:rPr>
        <w:t>&lt;n&gt;</w:t>
      </w:r>
      <w:r w:rsidRPr="00B37F7E">
        <w:t xml:space="preserve"> sq. ft.  The department provides administrative support to handle day-to-day operations of the department including: budget, departmental webpage, and catalog and interfacing with Registrar’s Office, Accounts Payable, and other pertinent offices.</w:t>
      </w:r>
    </w:p>
    <w:p w14:paraId="5CFBE764" w14:textId="77777777" w:rsidR="00B37F7E" w:rsidRPr="00B37F7E" w:rsidRDefault="00B37F7E" w:rsidP="00B37F7E">
      <w:pPr>
        <w:spacing w:line="276" w:lineRule="auto"/>
      </w:pPr>
    </w:p>
    <w:p w14:paraId="46E8E249" w14:textId="0448DA44" w:rsidR="00B37F7E" w:rsidRPr="00B37F7E" w:rsidRDefault="00B37F7E" w:rsidP="00B37F7E">
      <w:pPr>
        <w:spacing w:line="276" w:lineRule="auto"/>
      </w:pPr>
      <w:r w:rsidRPr="00B37F7E">
        <w:rPr>
          <w:i/>
        </w:rPr>
        <w:t>&lt;</w:t>
      </w:r>
      <w:r>
        <w:rPr>
          <w:i/>
        </w:rPr>
        <w:t xml:space="preserve">describe </w:t>
      </w:r>
      <w:r w:rsidRPr="00B37F7E">
        <w:rPr>
          <w:i/>
        </w:rPr>
        <w:t xml:space="preserve">specific department resources, </w:t>
      </w:r>
      <w:r w:rsidR="00A62C97">
        <w:rPr>
          <w:i/>
        </w:rPr>
        <w:t xml:space="preserve">lab space, </w:t>
      </w:r>
      <w:r w:rsidRPr="00B37F7E">
        <w:rPr>
          <w:i/>
        </w:rPr>
        <w:t xml:space="preserve">research equipment, </w:t>
      </w:r>
      <w:r>
        <w:rPr>
          <w:i/>
        </w:rPr>
        <w:t>etc.</w:t>
      </w:r>
      <w:r w:rsidRPr="00B37F7E">
        <w:t>&gt;</w:t>
      </w:r>
    </w:p>
    <w:p w14:paraId="6F3DE721" w14:textId="77777777" w:rsidR="00B37F7E" w:rsidRPr="00B37F7E" w:rsidRDefault="00B37F7E" w:rsidP="00B37F7E">
      <w:pPr>
        <w:spacing w:line="276" w:lineRule="auto"/>
      </w:pPr>
    </w:p>
    <w:p w14:paraId="34D8CA4F" w14:textId="77777777" w:rsidR="00DA586A" w:rsidRDefault="00DA586A" w:rsidP="002D5729">
      <w:pPr>
        <w:spacing w:line="276" w:lineRule="auto"/>
        <w:rPr>
          <w:b/>
        </w:rPr>
      </w:pPr>
      <w:r w:rsidRPr="00DA586A">
        <w:rPr>
          <w:b/>
        </w:rPr>
        <w:t>Technology and Computing Resources</w:t>
      </w:r>
    </w:p>
    <w:p w14:paraId="7BD61322" w14:textId="77777777" w:rsidR="00DA586A" w:rsidRPr="00DA586A" w:rsidRDefault="00DA586A" w:rsidP="002D5729">
      <w:pPr>
        <w:spacing w:line="276" w:lineRule="auto"/>
        <w:rPr>
          <w:b/>
        </w:rPr>
      </w:pPr>
    </w:p>
    <w:p w14:paraId="5EA908C5" w14:textId="77777777" w:rsidR="00DA586A" w:rsidRPr="00DA586A" w:rsidRDefault="00DA586A" w:rsidP="002D5729">
      <w:pPr>
        <w:spacing w:line="276" w:lineRule="auto"/>
      </w:pPr>
      <w:r w:rsidRPr="00DA586A">
        <w:t>Clark University provides both wired and wireless networks that support department access to academic and administrative software applications, a high-performance computing cluster, learning management system, web-based survey tool, web publishing resources, networked black &amp; white / color printers and copiers, and Internet access. All personnel have access to computers for data collection and data analyses.  Clark University also provides secure shared drives (campus file shares and Microsoft OneDrive), which makes sharing of documents secure and efficient. In addition, support for university provided services are available from the ITS Help Desk.</w:t>
      </w:r>
    </w:p>
    <w:p w14:paraId="15C24C81" w14:textId="77777777" w:rsidR="00DA586A" w:rsidRDefault="00DA586A" w:rsidP="002D5729">
      <w:pPr>
        <w:spacing w:line="276" w:lineRule="auto"/>
      </w:pPr>
    </w:p>
    <w:p w14:paraId="59FDA9A8" w14:textId="77777777" w:rsidR="00DA586A" w:rsidRDefault="00DA586A" w:rsidP="002D5729">
      <w:pPr>
        <w:spacing w:line="276" w:lineRule="auto"/>
      </w:pPr>
      <w:r w:rsidRPr="00DA586A">
        <w:rPr>
          <w:i/>
        </w:rPr>
        <w:t>&lt;faculty name&gt;</w:t>
      </w:r>
      <w:r w:rsidRPr="00DA586A">
        <w:t xml:space="preserve"> has a </w:t>
      </w:r>
      <w:r w:rsidRPr="00DA586A">
        <w:rPr>
          <w:i/>
        </w:rPr>
        <w:t>&lt;contact ITS for specific make/model of computer(s)&gt;</w:t>
      </w:r>
      <w:r w:rsidRPr="00DA586A">
        <w:t>.  Computers are equipped with the full range of software necessary to conduct advanced statistical analyses and prepare manuscripts and conference presentations, including Microsoft Office, EndNote, NVivo, and Stata.  In addition, computers are equipped with video conference call and webinar capabilities via Teams, WebEx, and Zoom to facilitate regular meetings with entire project team</w:t>
      </w:r>
      <w:r w:rsidR="00B17D32">
        <w:t>s regardless of physical location</w:t>
      </w:r>
      <w:r w:rsidRPr="00DA586A">
        <w:t>.</w:t>
      </w:r>
    </w:p>
    <w:p w14:paraId="73628618" w14:textId="77777777" w:rsidR="002D5729" w:rsidRPr="002D5729" w:rsidRDefault="002D5729" w:rsidP="002D5729">
      <w:pPr>
        <w:spacing w:line="276" w:lineRule="auto"/>
        <w:rPr>
          <w:rFonts w:ascii="Times New Roman" w:hAnsi="Times New Roman"/>
        </w:rPr>
      </w:pPr>
    </w:p>
    <w:p w14:paraId="25BF2E6C" w14:textId="77777777" w:rsidR="00B17D32" w:rsidRPr="00B17D32" w:rsidRDefault="00B17D32" w:rsidP="002D5729">
      <w:pPr>
        <w:shd w:val="clear" w:color="auto" w:fill="FFFFFF"/>
        <w:autoSpaceDE/>
        <w:autoSpaceDN/>
        <w:spacing w:line="276" w:lineRule="auto"/>
        <w:textAlignment w:val="baseline"/>
        <w:rPr>
          <w:rFonts w:ascii="Times New Roman" w:hAnsi="Times New Roman"/>
          <w:b/>
          <w:color w:val="000000"/>
        </w:rPr>
      </w:pPr>
      <w:r w:rsidRPr="00B17D32">
        <w:rPr>
          <w:rFonts w:ascii="Times New Roman" w:hAnsi="Times New Roman"/>
          <w:b/>
          <w:color w:val="000000"/>
        </w:rPr>
        <w:t>Library Resources</w:t>
      </w:r>
    </w:p>
    <w:p w14:paraId="3264A7B2" w14:textId="77777777" w:rsidR="00B17D32" w:rsidRDefault="00B17D32" w:rsidP="002D5729">
      <w:pPr>
        <w:shd w:val="clear" w:color="auto" w:fill="FFFFFF"/>
        <w:autoSpaceDE/>
        <w:autoSpaceDN/>
        <w:spacing w:line="276" w:lineRule="auto"/>
        <w:textAlignment w:val="baseline"/>
        <w:rPr>
          <w:rFonts w:ascii="Times New Roman" w:hAnsi="Times New Roman"/>
          <w:color w:val="000000"/>
        </w:rPr>
      </w:pPr>
    </w:p>
    <w:p w14:paraId="5A8235EC" w14:textId="77777777" w:rsidR="00B17D32" w:rsidRDefault="00B17D32" w:rsidP="002D5729">
      <w:pPr>
        <w:shd w:val="clear" w:color="auto" w:fill="FFFFFF"/>
        <w:autoSpaceDE/>
        <w:autoSpaceDN/>
        <w:spacing w:line="276" w:lineRule="auto"/>
        <w:textAlignment w:val="baseline"/>
        <w:rPr>
          <w:rFonts w:ascii="Times New Roman" w:hAnsi="Times New Roman"/>
          <w:color w:val="000000"/>
        </w:rPr>
      </w:pPr>
      <w:r>
        <w:rPr>
          <w:rFonts w:ascii="Times New Roman" w:hAnsi="Times New Roman"/>
          <w:color w:val="000000"/>
        </w:rPr>
        <w:t xml:space="preserve">The Robert H. Goddard Library </w:t>
      </w:r>
      <w:r w:rsidRPr="00B17D32">
        <w:rPr>
          <w:rFonts w:ascii="Times New Roman" w:hAnsi="Times New Roman"/>
          <w:color w:val="000000"/>
        </w:rPr>
        <w:t>offers a variety of spaces and tools to facilitate a welcoming, comfortable, and productive environment</w:t>
      </w:r>
      <w:r>
        <w:rPr>
          <w:rFonts w:ascii="Times New Roman" w:hAnsi="Times New Roman"/>
          <w:color w:val="000000"/>
        </w:rPr>
        <w:t xml:space="preserve"> for </w:t>
      </w:r>
      <w:r w:rsidR="00B37F7E">
        <w:rPr>
          <w:rFonts w:ascii="Times New Roman" w:hAnsi="Times New Roman"/>
          <w:color w:val="000000"/>
        </w:rPr>
        <w:t>campus-wide use</w:t>
      </w:r>
      <w:r>
        <w:rPr>
          <w:rFonts w:ascii="Times New Roman" w:hAnsi="Times New Roman"/>
          <w:color w:val="000000"/>
        </w:rPr>
        <w:t xml:space="preserve">.  Private rooms, computers and computer labs, and printers are available. </w:t>
      </w:r>
      <w:r w:rsidR="00BC0B90">
        <w:rPr>
          <w:rFonts w:ascii="Times New Roman" w:hAnsi="Times New Roman"/>
          <w:color w:val="000000"/>
        </w:rPr>
        <w:t xml:space="preserve">The Library is fully staffed to assist with archives and special collections, research and instruction services, and </w:t>
      </w:r>
      <w:r w:rsidR="00B37F7E">
        <w:rPr>
          <w:rFonts w:ascii="Times New Roman" w:hAnsi="Times New Roman"/>
          <w:color w:val="000000"/>
        </w:rPr>
        <w:t xml:space="preserve">collections and </w:t>
      </w:r>
      <w:r w:rsidR="00BC0B90">
        <w:rPr>
          <w:rFonts w:ascii="Times New Roman" w:hAnsi="Times New Roman"/>
          <w:color w:val="000000"/>
        </w:rPr>
        <w:t xml:space="preserve">systems available to all Clark faculty, students, and staff. </w:t>
      </w:r>
      <w:r w:rsidR="001008EF">
        <w:rPr>
          <w:rFonts w:ascii="Times New Roman" w:hAnsi="Times New Roman"/>
          <w:color w:val="000000"/>
        </w:rPr>
        <w:t xml:space="preserve"> D</w:t>
      </w:r>
      <w:r w:rsidR="00BC0B90">
        <w:rPr>
          <w:rFonts w:ascii="Times New Roman" w:hAnsi="Times New Roman"/>
          <w:color w:val="000000"/>
        </w:rPr>
        <w:t>atabases include Scopus, Academic Search Premier,</w:t>
      </w:r>
      <w:r w:rsidR="002F0DAD">
        <w:rPr>
          <w:rFonts w:ascii="Times New Roman" w:hAnsi="Times New Roman"/>
          <w:color w:val="000000"/>
        </w:rPr>
        <w:t xml:space="preserve"> HeinOnline, JStor, among many others.</w:t>
      </w:r>
    </w:p>
    <w:p w14:paraId="505B8BE7" w14:textId="77777777" w:rsidR="00B17D32" w:rsidRDefault="00B17D32" w:rsidP="002D5729">
      <w:pPr>
        <w:shd w:val="clear" w:color="auto" w:fill="FFFFFF"/>
        <w:autoSpaceDE/>
        <w:autoSpaceDN/>
        <w:spacing w:line="276" w:lineRule="auto"/>
        <w:textAlignment w:val="baseline"/>
        <w:rPr>
          <w:rFonts w:ascii="Times New Roman" w:hAnsi="Times New Roman"/>
          <w:color w:val="000000"/>
        </w:rPr>
      </w:pPr>
    </w:p>
    <w:p w14:paraId="63130FB5" w14:textId="77777777" w:rsidR="002D5729" w:rsidRPr="002D5729" w:rsidRDefault="002D5729" w:rsidP="002D5729">
      <w:pPr>
        <w:shd w:val="clear" w:color="auto" w:fill="FFFFFF"/>
        <w:autoSpaceDE/>
        <w:autoSpaceDN/>
        <w:spacing w:line="276" w:lineRule="auto"/>
        <w:textAlignment w:val="baseline"/>
        <w:rPr>
          <w:rFonts w:ascii="Times New Roman" w:hAnsi="Times New Roman"/>
          <w:color w:val="000000"/>
        </w:rPr>
      </w:pPr>
      <w:r w:rsidRPr="002D5729">
        <w:rPr>
          <w:rFonts w:ascii="Times New Roman" w:hAnsi="Times New Roman"/>
          <w:color w:val="000000"/>
        </w:rPr>
        <w:t>Clark University Digital Commons is an online depository that provides long-term access to the diverse array of scholarly, professional, scientific, and creative output produced or housed at Clark University.</w:t>
      </w:r>
      <w:r>
        <w:rPr>
          <w:rFonts w:ascii="Times New Roman" w:hAnsi="Times New Roman"/>
          <w:color w:val="000000"/>
        </w:rPr>
        <w:t xml:space="preserve"> </w:t>
      </w:r>
      <w:r w:rsidRPr="002D5729">
        <w:rPr>
          <w:rFonts w:ascii="Times New Roman" w:hAnsi="Times New Roman"/>
          <w:color w:val="000000"/>
        </w:rPr>
        <w:t>This platform allows the Clark community to share and connect with a global audience, publish unique research, and showcase the breadth of knowledge produced at Clark University.</w:t>
      </w:r>
    </w:p>
    <w:p w14:paraId="6D4E7715" w14:textId="77777777" w:rsidR="00DA586A" w:rsidRDefault="00DA586A" w:rsidP="002D5729">
      <w:pPr>
        <w:spacing w:line="276" w:lineRule="auto"/>
      </w:pPr>
    </w:p>
    <w:p w14:paraId="763B42C8" w14:textId="1DE4E8AB" w:rsidR="002F0DAD" w:rsidRPr="00DA586A" w:rsidRDefault="002F0DAD" w:rsidP="002D5729">
      <w:pPr>
        <w:spacing w:line="276" w:lineRule="auto"/>
      </w:pPr>
      <w:r>
        <w:t>&lt;</w:t>
      </w:r>
      <w:r w:rsidRPr="002F0DAD">
        <w:rPr>
          <w:i/>
        </w:rPr>
        <w:t>Other Resources that may be applicable to this specific proposal, including external collaborators, and partners</w:t>
      </w:r>
      <w:r w:rsidR="00CA3D83">
        <w:rPr>
          <w:i/>
        </w:rPr>
        <w:t>, and any faculty academic year person months to be spent on the project (not included in the Budget Justification)</w:t>
      </w:r>
      <w:r>
        <w:t xml:space="preserve">&gt; </w:t>
      </w:r>
    </w:p>
    <w:sectPr w:rsidR="002F0DAD" w:rsidRPr="00DA586A" w:rsidSect="00DA586A">
      <w:type w:val="continuous"/>
      <w:pgSz w:w="12240" w:h="15840" w:code="1"/>
      <w:pgMar w:top="1440" w:right="1440" w:bottom="1440" w:left="1440" w:header="0" w:footer="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ra Ormsby" w:date="2023-03-22T09:38:00Z" w:initials="MO">
    <w:p w14:paraId="3C65E374" w14:textId="77777777" w:rsidR="00121827" w:rsidRDefault="00121827">
      <w:pPr>
        <w:pStyle w:val="CommentText"/>
      </w:pPr>
      <w:r>
        <w:rPr>
          <w:rStyle w:val="CommentReference"/>
        </w:rPr>
        <w:annotationRef/>
      </w:r>
      <w:r>
        <w:t xml:space="preserve">Title for NSF proposals = </w:t>
      </w:r>
      <w:r w:rsidR="00AE3C84">
        <w:t>Facilities, Equipment and Other Resources</w:t>
      </w:r>
    </w:p>
    <w:p w14:paraId="2BD3BB99" w14:textId="77777777" w:rsidR="00AE3C84" w:rsidRDefault="00AE3C84">
      <w:pPr>
        <w:pStyle w:val="CommentText"/>
      </w:pPr>
      <w:r>
        <w:t xml:space="preserve">Title </w:t>
      </w:r>
      <w:r w:rsidR="00B37F7E">
        <w:t xml:space="preserve">for </w:t>
      </w:r>
      <w:r>
        <w:t>NIH = Facilities</w:t>
      </w:r>
      <w:r w:rsidR="00B37F7E">
        <w:t xml:space="preserve"> &amp; Other Resources  (note: Equipment is in a separate attachment)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3BB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3BB99" w16cid:durableId="27C54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C498" w14:textId="77777777" w:rsidR="00504F46" w:rsidRDefault="00504F46">
      <w:r>
        <w:separator/>
      </w:r>
    </w:p>
  </w:endnote>
  <w:endnote w:type="continuationSeparator" w:id="0">
    <w:p w14:paraId="1B76C0EC" w14:textId="77777777" w:rsidR="00504F46" w:rsidRDefault="0050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F461" w14:textId="77777777" w:rsidR="00504F46" w:rsidRDefault="00504F46">
      <w:r>
        <w:separator/>
      </w:r>
    </w:p>
  </w:footnote>
  <w:footnote w:type="continuationSeparator" w:id="0">
    <w:p w14:paraId="744D2A0C" w14:textId="77777777" w:rsidR="00504F46" w:rsidRDefault="0050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30895942">
    <w:abstractNumId w:val="9"/>
  </w:num>
  <w:num w:numId="2" w16cid:durableId="768505409">
    <w:abstractNumId w:val="7"/>
  </w:num>
  <w:num w:numId="3" w16cid:durableId="953441418">
    <w:abstractNumId w:val="6"/>
  </w:num>
  <w:num w:numId="4" w16cid:durableId="1684550005">
    <w:abstractNumId w:val="5"/>
  </w:num>
  <w:num w:numId="5" w16cid:durableId="835921150">
    <w:abstractNumId w:val="4"/>
  </w:num>
  <w:num w:numId="6" w16cid:durableId="1470709786">
    <w:abstractNumId w:val="8"/>
  </w:num>
  <w:num w:numId="7" w16cid:durableId="2083719596">
    <w:abstractNumId w:val="3"/>
  </w:num>
  <w:num w:numId="8" w16cid:durableId="1849251289">
    <w:abstractNumId w:val="2"/>
  </w:num>
  <w:num w:numId="9" w16cid:durableId="365061098">
    <w:abstractNumId w:val="1"/>
  </w:num>
  <w:num w:numId="10" w16cid:durableId="227882871">
    <w:abstractNumId w:val="0"/>
  </w:num>
  <w:num w:numId="11" w16cid:durableId="1509713974">
    <w:abstractNumId w:val="4"/>
  </w:num>
  <w:num w:numId="12" w16cid:durableId="469443775">
    <w:abstractNumId w:val="10"/>
  </w:num>
  <w:num w:numId="13" w16cid:durableId="25638458">
    <w:abstractNumId w:val="11"/>
  </w:num>
  <w:num w:numId="14" w16cid:durableId="1029259366">
    <w:abstractNumId w:val="12"/>
  </w:num>
  <w:num w:numId="15" w16cid:durableId="21001780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a Ormsby">
    <w15:presenceInfo w15:providerId="AD" w15:userId="S-1-5-21-596969756-985808359-1990678075-798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1FC"/>
    <w:rsid w:val="000957AE"/>
    <w:rsid w:val="001008EF"/>
    <w:rsid w:val="001148F7"/>
    <w:rsid w:val="00121827"/>
    <w:rsid w:val="001846A6"/>
    <w:rsid w:val="001B4709"/>
    <w:rsid w:val="001D01FC"/>
    <w:rsid w:val="002D5729"/>
    <w:rsid w:val="002F0DAD"/>
    <w:rsid w:val="003156BC"/>
    <w:rsid w:val="003C7250"/>
    <w:rsid w:val="00416CD7"/>
    <w:rsid w:val="00465C1A"/>
    <w:rsid w:val="004747B1"/>
    <w:rsid w:val="004825C5"/>
    <w:rsid w:val="004844C7"/>
    <w:rsid w:val="004D3D3F"/>
    <w:rsid w:val="004E48AD"/>
    <w:rsid w:val="0050372B"/>
    <w:rsid w:val="00504F46"/>
    <w:rsid w:val="00512E00"/>
    <w:rsid w:val="005256EF"/>
    <w:rsid w:val="00557104"/>
    <w:rsid w:val="00655D7F"/>
    <w:rsid w:val="006570C2"/>
    <w:rsid w:val="00711ED1"/>
    <w:rsid w:val="00804FE9"/>
    <w:rsid w:val="0085359D"/>
    <w:rsid w:val="008D7841"/>
    <w:rsid w:val="00920174"/>
    <w:rsid w:val="009C28ED"/>
    <w:rsid w:val="00A22437"/>
    <w:rsid w:val="00A353D2"/>
    <w:rsid w:val="00A37ED7"/>
    <w:rsid w:val="00A62C97"/>
    <w:rsid w:val="00AE3C84"/>
    <w:rsid w:val="00B17D32"/>
    <w:rsid w:val="00B37F7E"/>
    <w:rsid w:val="00BC0B90"/>
    <w:rsid w:val="00BD6C11"/>
    <w:rsid w:val="00C3145B"/>
    <w:rsid w:val="00CA3D83"/>
    <w:rsid w:val="00D1430D"/>
    <w:rsid w:val="00D829E5"/>
    <w:rsid w:val="00DA586A"/>
    <w:rsid w:val="00DF5C56"/>
    <w:rsid w:val="00F113F1"/>
    <w:rsid w:val="00F159A8"/>
    <w:rsid w:val="00F23ACE"/>
    <w:rsid w:val="00F436D9"/>
    <w:rsid w:val="00F53B4D"/>
    <w:rsid w:val="00F64D28"/>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48FA72"/>
  <w15:chartTrackingRefBased/>
  <w15:docId w15:val="{70CD3F42-8BBC-47A3-A117-821363DD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uiPriority w:val="99"/>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DataField10pt">
    <w:name w:val="Data Field 10pt"/>
    <w:basedOn w:val="Normal"/>
    <w:rPr>
      <w:rFonts w:ascii="Arial" w:hAnsi="Arial" w:cs="Arial"/>
      <w:sz w:val="20"/>
      <w:szCs w:val="20"/>
    </w:rPr>
  </w:style>
  <w:style w:type="paragraph" w:customStyle="1" w:styleId="DataField11pt">
    <w:name w:val="Data Field 11pt"/>
    <w:basedOn w:val="Normal"/>
    <w:rsid w:val="00592D14"/>
    <w:pPr>
      <w:spacing w:line="300" w:lineRule="exact"/>
    </w:pPr>
    <w:rPr>
      <w:rFonts w:ascii="Arial" w:hAnsi="Arial" w:cs="Arial"/>
      <w:sz w:val="22"/>
      <w:szCs w:val="2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ormFooter">
    <w:name w:val="Form Footer"/>
    <w:basedOn w:val="Normal"/>
    <w:pPr>
      <w:tabs>
        <w:tab w:val="center" w:pos="5328"/>
        <w:tab w:val="right" w:pos="10728"/>
      </w:tabs>
      <w:ind w:left="58"/>
    </w:pPr>
    <w:rPr>
      <w:rFonts w:ascii="Arial" w:hAnsi="Arial" w:cs="Arial"/>
      <w:sz w:val="16"/>
      <w:szCs w:val="16"/>
    </w:rPr>
  </w:style>
  <w:style w:type="paragraph" w:customStyle="1" w:styleId="HeadingNote">
    <w:name w:val="Heading Note"/>
    <w:basedOn w:val="Normal"/>
    <w:pPr>
      <w:spacing w:before="40" w:after="40"/>
      <w:jc w:val="center"/>
    </w:pPr>
    <w:rPr>
      <w:rFonts w:ascii="Arial" w:hAnsi="Arial" w:cs="Arial"/>
      <w:i/>
      <w:iCs/>
      <w:sz w:val="16"/>
      <w:szCs w:val="16"/>
    </w:rPr>
  </w:style>
  <w:style w:type="character" w:styleId="PageNumber">
    <w:name w:val="page number"/>
    <w:rPr>
      <w:rFonts w:ascii="Arial" w:hAnsi="Arial"/>
      <w:sz w:val="20"/>
      <w:u w:val="single"/>
    </w:rPr>
  </w:style>
  <w:style w:type="paragraph" w:customStyle="1" w:styleId="PIHeader">
    <w:name w:val="PI Header"/>
    <w:basedOn w:val="Normal"/>
    <w:pPr>
      <w:spacing w:after="40"/>
      <w:ind w:left="864"/>
    </w:pPr>
    <w:rPr>
      <w:rFonts w:ascii="Arial" w:hAnsi="Arial" w:cs="Arial"/>
      <w:noProof/>
      <w:sz w:val="16"/>
      <w:szCs w:val="20"/>
    </w:rPr>
  </w:style>
  <w:style w:type="paragraph" w:styleId="Revision">
    <w:name w:val="Revision"/>
    <w:hidden/>
    <w:uiPriority w:val="99"/>
    <w:semiHidden/>
    <w:rsid w:val="00F23ACE"/>
    <w:rPr>
      <w:rFonts w:ascii="Times" w:hAnsi="Times"/>
      <w:sz w:val="24"/>
      <w:szCs w:val="24"/>
    </w:rPr>
  </w:style>
  <w:style w:type="paragraph" w:styleId="BalloonText">
    <w:name w:val="Balloon Text"/>
    <w:basedOn w:val="Normal"/>
    <w:link w:val="BalloonTextChar"/>
    <w:rsid w:val="00F23ACE"/>
    <w:rPr>
      <w:rFonts w:ascii="Segoe UI" w:hAnsi="Segoe UI" w:cs="Segoe UI"/>
      <w:sz w:val="18"/>
      <w:szCs w:val="18"/>
    </w:rPr>
  </w:style>
  <w:style w:type="character" w:customStyle="1" w:styleId="BalloonTextChar">
    <w:name w:val="Balloon Text Char"/>
    <w:basedOn w:val="DefaultParagraphFont"/>
    <w:link w:val="BalloonText"/>
    <w:rsid w:val="00F23ACE"/>
    <w:rPr>
      <w:rFonts w:ascii="Segoe UI" w:hAnsi="Segoe UI" w:cs="Segoe UI"/>
      <w:sz w:val="18"/>
      <w:szCs w:val="18"/>
    </w:rPr>
  </w:style>
  <w:style w:type="paragraph" w:styleId="CommentSubject">
    <w:name w:val="annotation subject"/>
    <w:basedOn w:val="CommentText"/>
    <w:next w:val="CommentText"/>
    <w:link w:val="CommentSubjectChar"/>
    <w:rsid w:val="00121827"/>
    <w:rPr>
      <w:rFonts w:cs="Times New Roman"/>
      <w:b/>
      <w:bCs/>
    </w:rPr>
  </w:style>
  <w:style w:type="character" w:customStyle="1" w:styleId="CommentTextChar">
    <w:name w:val="Comment Text Char"/>
    <w:basedOn w:val="DefaultParagraphFont"/>
    <w:link w:val="CommentText"/>
    <w:semiHidden/>
    <w:rsid w:val="00121827"/>
    <w:rPr>
      <w:rFonts w:ascii="Times" w:hAnsi="Times" w:cs="Times"/>
    </w:rPr>
  </w:style>
  <w:style w:type="character" w:customStyle="1" w:styleId="CommentSubjectChar">
    <w:name w:val="Comment Subject Char"/>
    <w:basedOn w:val="CommentTextChar"/>
    <w:link w:val="CommentSubject"/>
    <w:rsid w:val="00121827"/>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77633">
      <w:bodyDiv w:val="1"/>
      <w:marLeft w:val="0"/>
      <w:marRight w:val="0"/>
      <w:marTop w:val="0"/>
      <w:marBottom w:val="0"/>
      <w:divBdr>
        <w:top w:val="none" w:sz="0" w:space="0" w:color="auto"/>
        <w:left w:val="none" w:sz="0" w:space="0" w:color="auto"/>
        <w:bottom w:val="none" w:sz="0" w:space="0" w:color="auto"/>
        <w:right w:val="none" w:sz="0" w:space="0" w:color="auto"/>
      </w:divBdr>
    </w:div>
    <w:div w:id="12944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2EF8-887E-4D09-AC79-84E9856A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616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PHS 398 (Rev. 11/07), Resources Format Page</vt:lpstr>
    </vt:vector>
  </TitlesOfParts>
  <Company>DHHS/PHS/NIH</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11/07), Resources Format Page</dc:title>
  <dc:subject>DHHS, Public Health Service Grant Application</dc:subject>
  <dc:creator>Office of Extramural Programs</dc:creator>
  <cp:keywords>PHS Grant Application, PHS 398 (Rev. 11/07), Resources Format Page</cp:keywords>
  <dc:description/>
  <cp:lastModifiedBy>Mira Ormsby</cp:lastModifiedBy>
  <cp:revision>10</cp:revision>
  <cp:lastPrinted>2003-05-07T15:00:00Z</cp:lastPrinted>
  <dcterms:created xsi:type="dcterms:W3CDTF">2023-01-05T18:00:00Z</dcterms:created>
  <dcterms:modified xsi:type="dcterms:W3CDTF">2023-05-15T15:05:00Z</dcterms:modified>
</cp:coreProperties>
</file>